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33" w:rsidRDefault="001E3833"/>
    <w:p w:rsidR="001E3833" w:rsidRDefault="001E3833" w:rsidP="001E3833">
      <w:pPr>
        <w:pStyle w:val="Title"/>
      </w:pPr>
      <w:r>
        <w:t>IN THE COURT OF COMMON PLEAS</w:t>
      </w:r>
    </w:p>
    <w:p w:rsidR="001E3833" w:rsidRDefault="001E3833" w:rsidP="001E3833">
      <w:pPr>
        <w:tabs>
          <w:tab w:val="left" w:pos="720"/>
          <w:tab w:val="left" w:pos="1440"/>
        </w:tabs>
        <w:jc w:val="center"/>
        <w:rPr>
          <w:b/>
        </w:rPr>
      </w:pPr>
      <w:smartTag w:uri="urn:schemas-microsoft-com:office:smarttags" w:element="place">
        <w:smartTag w:uri="urn:schemas-microsoft-com:office:smarttags" w:element="City">
          <w:r>
            <w:rPr>
              <w:b/>
            </w:rPr>
            <w:t>CUYAHOGA COUNTY</w:t>
          </w:r>
        </w:smartTag>
        <w:r>
          <w:rPr>
            <w:b/>
          </w:rPr>
          <w:t xml:space="preserve">, </w:t>
        </w:r>
        <w:smartTag w:uri="urn:schemas-microsoft-com:office:smarttags" w:element="State">
          <w:r>
            <w:rPr>
              <w:b/>
            </w:rPr>
            <w:t>OHIO</w:t>
          </w:r>
        </w:smartTag>
      </w:smartTag>
    </w:p>
    <w:p w:rsidR="001E3833" w:rsidRDefault="001E3833" w:rsidP="001E3833">
      <w:pPr>
        <w:rPr>
          <w:b/>
        </w:rPr>
      </w:pPr>
    </w:p>
    <w:p w:rsidR="001E3833" w:rsidRDefault="001E3833" w:rsidP="001E3833">
      <w:r>
        <w:t>CHRISTINE VILLANUEVA,</w:t>
      </w:r>
      <w:r>
        <w:tab/>
      </w:r>
      <w:r>
        <w:tab/>
        <w:t>)</w:t>
      </w:r>
      <w:r>
        <w:tab/>
        <w:t>CASE NO.: CV-13-801801</w:t>
      </w:r>
    </w:p>
    <w:p w:rsidR="001E3833" w:rsidRDefault="001E3833" w:rsidP="001E3833">
      <w:r>
        <w:tab/>
      </w:r>
      <w:r>
        <w:tab/>
      </w:r>
      <w:r>
        <w:tab/>
      </w:r>
      <w:r>
        <w:tab/>
      </w:r>
      <w:r>
        <w:tab/>
      </w:r>
      <w:r>
        <w:tab/>
        <w:t>)</w:t>
      </w:r>
    </w:p>
    <w:p w:rsidR="001E3833" w:rsidRDefault="001E3833" w:rsidP="001E3833">
      <w:r>
        <w:tab/>
      </w:r>
      <w:r>
        <w:tab/>
        <w:t>Plaintiff,</w:t>
      </w:r>
      <w:r>
        <w:tab/>
      </w:r>
      <w:r>
        <w:tab/>
      </w:r>
      <w:r>
        <w:tab/>
        <w:t>)</w:t>
      </w:r>
      <w:r>
        <w:tab/>
        <w:t>JUDGE DEENA CALABRESE</w:t>
      </w:r>
    </w:p>
    <w:p w:rsidR="001E3833" w:rsidRDefault="001E3833" w:rsidP="001E3833">
      <w:r>
        <w:tab/>
      </w:r>
      <w:proofErr w:type="gramStart"/>
      <w:r>
        <w:t>v</w:t>
      </w:r>
      <w:proofErr w:type="gramEnd"/>
      <w:r>
        <w:t>.</w:t>
      </w:r>
      <w:r>
        <w:tab/>
      </w:r>
      <w:r>
        <w:tab/>
      </w:r>
      <w:r>
        <w:tab/>
      </w:r>
      <w:r>
        <w:tab/>
      </w:r>
      <w:r>
        <w:tab/>
        <w:t>)</w:t>
      </w:r>
    </w:p>
    <w:p w:rsidR="001E3833" w:rsidRDefault="001E3833" w:rsidP="001E3833">
      <w:pPr>
        <w:rPr>
          <w:b/>
          <w:u w:val="single"/>
        </w:rPr>
      </w:pPr>
      <w:r>
        <w:tab/>
      </w:r>
      <w:r>
        <w:tab/>
      </w:r>
      <w:r>
        <w:tab/>
      </w:r>
      <w:r>
        <w:tab/>
      </w:r>
      <w:r>
        <w:tab/>
      </w:r>
      <w:r>
        <w:tab/>
        <w:t>)</w:t>
      </w:r>
      <w:r>
        <w:tab/>
      </w:r>
    </w:p>
    <w:p w:rsidR="001E3833" w:rsidRDefault="001E3833" w:rsidP="001E3833">
      <w:pPr>
        <w:rPr>
          <w:b/>
        </w:rPr>
      </w:pPr>
      <w:r>
        <w:t>JOHN F. FLEEGLE</w:t>
      </w:r>
      <w:r>
        <w:tab/>
      </w:r>
      <w:r>
        <w:tab/>
      </w:r>
      <w:r>
        <w:tab/>
      </w:r>
      <w:r>
        <w:tab/>
        <w:t>)</w:t>
      </w:r>
      <w:r>
        <w:tab/>
      </w:r>
      <w:r>
        <w:rPr>
          <w:b/>
          <w:u w:val="single"/>
        </w:rPr>
        <w:t xml:space="preserve">PLAINTIFF’S BRIEF IN </w:t>
      </w:r>
    </w:p>
    <w:p w:rsidR="001E3833" w:rsidRDefault="001E3833" w:rsidP="001E3833">
      <w:pPr>
        <w:rPr>
          <w:b/>
        </w:rPr>
      </w:pPr>
      <w:r>
        <w:rPr>
          <w:b/>
        </w:rPr>
        <w:tab/>
      </w:r>
      <w:r>
        <w:rPr>
          <w:b/>
        </w:rPr>
        <w:tab/>
      </w:r>
      <w:r>
        <w:rPr>
          <w:b/>
        </w:rPr>
        <w:tab/>
      </w:r>
      <w:r>
        <w:rPr>
          <w:b/>
        </w:rPr>
        <w:tab/>
      </w:r>
      <w:r>
        <w:rPr>
          <w:b/>
        </w:rPr>
        <w:tab/>
      </w:r>
      <w:r>
        <w:rPr>
          <w:b/>
        </w:rPr>
        <w:tab/>
      </w:r>
      <w:r>
        <w:rPr>
          <w:bCs/>
        </w:rPr>
        <w:t>)</w:t>
      </w:r>
      <w:r>
        <w:rPr>
          <w:b/>
        </w:rPr>
        <w:tab/>
      </w:r>
      <w:r>
        <w:rPr>
          <w:b/>
          <w:u w:val="single"/>
        </w:rPr>
        <w:t>OPPOSITION TO “MOTION</w:t>
      </w:r>
    </w:p>
    <w:p w:rsidR="001E3833" w:rsidRDefault="001E3833" w:rsidP="001E3833">
      <w:pPr>
        <w:rPr>
          <w:b/>
          <w:u w:val="single"/>
        </w:rPr>
      </w:pPr>
      <w:r>
        <w:rPr>
          <w:b/>
        </w:rPr>
        <w:tab/>
      </w:r>
      <w:r>
        <w:rPr>
          <w:b/>
        </w:rPr>
        <w:tab/>
      </w:r>
      <w:r>
        <w:t>Defendants.</w:t>
      </w:r>
      <w:r>
        <w:rPr>
          <w:b/>
        </w:rPr>
        <w:tab/>
      </w:r>
      <w:r>
        <w:rPr>
          <w:b/>
        </w:rPr>
        <w:tab/>
      </w:r>
      <w:r>
        <w:rPr>
          <w:b/>
        </w:rPr>
        <w:tab/>
      </w:r>
      <w:r>
        <w:rPr>
          <w:bCs/>
        </w:rPr>
        <w:t>)</w:t>
      </w:r>
      <w:r>
        <w:rPr>
          <w:b/>
        </w:rPr>
        <w:tab/>
      </w:r>
      <w:r>
        <w:rPr>
          <w:b/>
          <w:u w:val="single"/>
        </w:rPr>
        <w:t>TO COMPEL FOR SIGNED</w:t>
      </w:r>
    </w:p>
    <w:p w:rsidR="001E3833" w:rsidRDefault="001E3833" w:rsidP="001E3833">
      <w:pPr>
        <w:ind w:right="-144"/>
        <w:rPr>
          <w:b/>
          <w:u w:val="single"/>
        </w:rPr>
      </w:pPr>
      <w:r>
        <w:tab/>
      </w:r>
      <w:r>
        <w:tab/>
      </w:r>
      <w:r>
        <w:tab/>
      </w:r>
      <w:r>
        <w:tab/>
      </w:r>
      <w:r>
        <w:tab/>
      </w:r>
      <w:r>
        <w:tab/>
        <w:t>)</w:t>
      </w:r>
      <w:r>
        <w:tab/>
      </w:r>
      <w:r>
        <w:rPr>
          <w:b/>
          <w:u w:val="single"/>
        </w:rPr>
        <w:t>MEDICAL AUTHORIZATIONS”</w:t>
      </w:r>
    </w:p>
    <w:p w:rsidR="001E3833" w:rsidRDefault="001E3833" w:rsidP="001E3833">
      <w:pPr>
        <w:ind w:right="-144"/>
        <w:rPr>
          <w:b/>
          <w:u w:val="single"/>
        </w:rPr>
      </w:pPr>
      <w:r>
        <w:rPr>
          <w:b/>
        </w:rPr>
        <w:tab/>
      </w:r>
      <w:r>
        <w:rPr>
          <w:b/>
        </w:rPr>
        <w:tab/>
      </w:r>
      <w:r>
        <w:rPr>
          <w:b/>
        </w:rPr>
        <w:tab/>
      </w:r>
      <w:r>
        <w:rPr>
          <w:b/>
        </w:rPr>
        <w:tab/>
      </w:r>
      <w:r>
        <w:rPr>
          <w:b/>
        </w:rPr>
        <w:tab/>
      </w:r>
      <w:r>
        <w:rPr>
          <w:b/>
        </w:rPr>
        <w:tab/>
      </w:r>
      <w:r>
        <w:t>)</w:t>
      </w:r>
      <w:r>
        <w:tab/>
      </w:r>
      <w:r>
        <w:rPr>
          <w:b/>
          <w:u w:val="single"/>
        </w:rPr>
        <w:t xml:space="preserve">AND MOTION FOR </w:t>
      </w:r>
    </w:p>
    <w:p w:rsidR="001E3833" w:rsidRDefault="001E3833" w:rsidP="001E3833">
      <w:pPr>
        <w:ind w:right="-144"/>
        <w:rPr>
          <w:b/>
        </w:rPr>
      </w:pPr>
      <w:r>
        <w:tab/>
      </w:r>
      <w:r>
        <w:tab/>
      </w:r>
      <w:r>
        <w:tab/>
      </w:r>
      <w:r>
        <w:tab/>
      </w:r>
      <w:r>
        <w:tab/>
      </w:r>
      <w:r>
        <w:tab/>
        <w:t>)</w:t>
      </w:r>
      <w:r>
        <w:tab/>
      </w:r>
      <w:r>
        <w:rPr>
          <w:b/>
          <w:u w:val="single"/>
        </w:rPr>
        <w:t>ATTORNEY’S FEES</w:t>
      </w:r>
      <w:r>
        <w:rPr>
          <w:b/>
        </w:rPr>
        <w:tab/>
      </w:r>
    </w:p>
    <w:p w:rsidR="001E3833" w:rsidRDefault="001E3833" w:rsidP="001E3833">
      <w:pPr>
        <w:ind w:right="-144"/>
      </w:pPr>
    </w:p>
    <w:p w:rsidR="001E3833" w:rsidRDefault="001E3833" w:rsidP="001E3833">
      <w:pPr>
        <w:numPr>
          <w:ilvl w:val="0"/>
          <w:numId w:val="1"/>
        </w:numPr>
        <w:rPr>
          <w:b/>
        </w:rPr>
      </w:pPr>
      <w:r>
        <w:rPr>
          <w:b/>
        </w:rPr>
        <w:t>Introduction</w:t>
      </w:r>
    </w:p>
    <w:p w:rsidR="001E3833" w:rsidRDefault="001E3833" w:rsidP="001E3833">
      <w:pPr>
        <w:ind w:left="1080"/>
        <w:rPr>
          <w:b/>
        </w:rPr>
      </w:pPr>
    </w:p>
    <w:p w:rsidR="001E3833" w:rsidRDefault="001E3833" w:rsidP="001E3833">
      <w:pPr>
        <w:spacing w:line="480" w:lineRule="auto"/>
      </w:pPr>
      <w:r>
        <w:t xml:space="preserve"> </w:t>
      </w:r>
      <w:r>
        <w:tab/>
        <w:t xml:space="preserve">Defendant’s </w:t>
      </w:r>
      <w:r>
        <w:rPr>
          <w:i/>
        </w:rPr>
        <w:t>Motion to Compel</w:t>
      </w:r>
      <w:r>
        <w:t xml:space="preserve"> is breathtaking in its failure to accurately report what has transpired in this matter, </w:t>
      </w:r>
      <w:r w:rsidR="00203432">
        <w:t>or to</w:t>
      </w:r>
      <w:r>
        <w:t xml:space="preserve"> </w:t>
      </w:r>
      <w:r w:rsidR="003C2814">
        <w:t xml:space="preserve">address </w:t>
      </w:r>
      <w:r>
        <w:t>the true issue presented.  The defense did indeed</w:t>
      </w:r>
      <w:r w:rsidR="000E3720">
        <w:t xml:space="preserve"> request that Plaintiff execute a Medical Authorization</w:t>
      </w:r>
      <w:r>
        <w:t xml:space="preserve"> it provided to Plaintiff.  The defense has conveniently failed to</w:t>
      </w:r>
      <w:r w:rsidR="000E3720">
        <w:t xml:space="preserve"> attach a copy of the Authorization</w:t>
      </w:r>
      <w:r>
        <w:t xml:space="preserve"> in question, and so Plaintiff has attached it hereto.  </w:t>
      </w:r>
      <w:r>
        <w:rPr>
          <w:i/>
        </w:rPr>
        <w:t>Plaintiff’s Exhibit “1.”</w:t>
      </w:r>
      <w:r>
        <w:t xml:space="preserve">  Even the most cursory review of that Authorization demonstrates that it </w:t>
      </w:r>
      <w:r>
        <w:rPr>
          <w:i/>
        </w:rPr>
        <w:t>does not comport with Ohio law</w:t>
      </w:r>
      <w:r>
        <w:t xml:space="preserve">, specifically R.C. §2317.02(B).  </w:t>
      </w:r>
      <w:r>
        <w:rPr>
          <w:i/>
        </w:rPr>
        <w:t>See infra</w:t>
      </w:r>
      <w:r>
        <w:t>.</w:t>
      </w:r>
    </w:p>
    <w:p w:rsidR="001E3833" w:rsidRDefault="001E3833" w:rsidP="001E3833">
      <w:pPr>
        <w:spacing w:line="480" w:lineRule="auto"/>
      </w:pPr>
      <w:r>
        <w:tab/>
        <w:t>The Authorization in question, among other things, would allow the defense access to:</w:t>
      </w:r>
    </w:p>
    <w:p w:rsidR="001E3833" w:rsidRDefault="001E3833" w:rsidP="001E3833">
      <w:pPr>
        <w:ind w:left="720" w:right="1440"/>
      </w:pPr>
      <w:r>
        <w:t>“</w:t>
      </w:r>
      <w:proofErr w:type="gramStart"/>
      <w:r>
        <w:t>history</w:t>
      </w:r>
      <w:proofErr w:type="gramEnd"/>
      <w:r>
        <w:t xml:space="preserve">, diagnosis and/or treatment of </w:t>
      </w:r>
      <w:r>
        <w:rPr>
          <w:i/>
        </w:rPr>
        <w:t>drug or alcohol abuse, mental illness, psychological and/or psychiatric treatment</w:t>
      </w:r>
      <w:r>
        <w:t>, counseling records/not</w:t>
      </w:r>
      <w:r w:rsidR="000E3720">
        <w:t>es</w:t>
      </w:r>
      <w:r>
        <w:t xml:space="preserve">, </w:t>
      </w:r>
      <w:r>
        <w:rPr>
          <w:i/>
        </w:rPr>
        <w:t>ge</w:t>
      </w:r>
      <w:r w:rsidR="000E3720">
        <w:rPr>
          <w:i/>
        </w:rPr>
        <w:t>netic</w:t>
      </w:r>
      <w:r>
        <w:rPr>
          <w:i/>
        </w:rPr>
        <w:t xml:space="preserve"> testing</w:t>
      </w:r>
      <w:r>
        <w:t xml:space="preserve"> or </w:t>
      </w:r>
      <w:r>
        <w:rPr>
          <w:i/>
        </w:rPr>
        <w:t>communicable disease</w:t>
      </w:r>
      <w:r>
        <w:t xml:space="preserve">, including </w:t>
      </w:r>
      <w:r>
        <w:rPr>
          <w:i/>
        </w:rPr>
        <w:t>Human Immunodeficiency Virus (HIV)</w:t>
      </w:r>
      <w:r>
        <w:t xml:space="preserve">, and </w:t>
      </w:r>
      <w:r>
        <w:rPr>
          <w:i/>
        </w:rPr>
        <w:t>Acquired Immune Deficiency Syndrome (AIDS)</w:t>
      </w:r>
      <w:r>
        <w:t>.”</w:t>
      </w:r>
    </w:p>
    <w:p w:rsidR="001E3833" w:rsidRDefault="001E3833" w:rsidP="001E3833">
      <w:pPr>
        <w:ind w:left="720" w:right="1440"/>
      </w:pPr>
    </w:p>
    <w:p w:rsidR="001E3833" w:rsidRDefault="001E3833" w:rsidP="001E3833">
      <w:pPr>
        <w:ind w:left="720" w:right="1440"/>
      </w:pPr>
      <w:r>
        <w:tab/>
      </w:r>
      <w:r>
        <w:tab/>
      </w:r>
      <w:r>
        <w:tab/>
      </w:r>
      <w:r>
        <w:tab/>
      </w:r>
      <w:r w:rsidR="000E3720">
        <w:rPr>
          <w:i/>
        </w:rPr>
        <w:t>Exhibit “1</w:t>
      </w:r>
      <w:r>
        <w:rPr>
          <w:i/>
        </w:rPr>
        <w:t>”</w:t>
      </w:r>
      <w:r>
        <w:t xml:space="preserve"> (emphasis added).</w:t>
      </w:r>
    </w:p>
    <w:p w:rsidR="001E3833" w:rsidRDefault="001E3833" w:rsidP="001E3833">
      <w:pPr>
        <w:ind w:left="720" w:right="1440"/>
      </w:pPr>
    </w:p>
    <w:p w:rsidR="001E3833" w:rsidRDefault="000E3720" w:rsidP="000E3720">
      <w:pPr>
        <w:spacing w:line="480" w:lineRule="auto"/>
        <w:ind w:right="90"/>
      </w:pPr>
      <w:r>
        <w:t>Furthermore, the Authorization</w:t>
      </w:r>
      <w:r w:rsidR="001E3833">
        <w:t xml:space="preserve"> is not limited to the parts of the body which Plaintiff alleges that she injured in the car collision which is the subject of this action.</w:t>
      </w:r>
    </w:p>
    <w:p w:rsidR="001E3833" w:rsidRDefault="001E3833" w:rsidP="000E3720">
      <w:pPr>
        <w:spacing w:line="480" w:lineRule="auto"/>
        <w:ind w:right="90"/>
      </w:pPr>
      <w:r>
        <w:lastRenderedPageBreak/>
        <w:tab/>
        <w:t xml:space="preserve">The defense </w:t>
      </w:r>
      <w:r>
        <w:rPr>
          <w:i/>
        </w:rPr>
        <w:t xml:space="preserve">misrepresented </w:t>
      </w:r>
      <w:r>
        <w:t>the nature and scope of th</w:t>
      </w:r>
      <w:r w:rsidR="003C2814">
        <w:t>is</w:t>
      </w:r>
      <w:r>
        <w:t xml:space="preserve"> Authorization at the recent </w:t>
      </w:r>
      <w:r w:rsidR="000E3720">
        <w:t>Case Management Conference</w:t>
      </w:r>
      <w:r>
        <w:t xml:space="preserve"> of this matter, claiming that it fully comported with Ohio law.  In its </w:t>
      </w:r>
      <w:r>
        <w:rPr>
          <w:i/>
        </w:rPr>
        <w:t>Motion</w:t>
      </w:r>
      <w:r>
        <w:t>, the defense also fails to include Plaintiff counsel’s response to Defendant’s request.  By letter of August 19, 2013 (</w:t>
      </w:r>
      <w:r>
        <w:rPr>
          <w:i/>
        </w:rPr>
        <w:t>Plaintiff’s Exhibit “2”)</w:t>
      </w:r>
      <w:r>
        <w:t>, Plaintiff’s counsel pointed out-the legal deficiencies of the defense’s Authorization</w:t>
      </w:r>
      <w:r w:rsidR="004012DB">
        <w:t xml:space="preserve">.  </w:t>
      </w:r>
      <w:r w:rsidR="004012DB">
        <w:rPr>
          <w:i/>
        </w:rPr>
        <w:t>Id.</w:t>
      </w:r>
      <w:r w:rsidR="004012DB">
        <w:t xml:space="preserve">   But, Plaintiff </w:t>
      </w:r>
      <w:r w:rsidR="004012DB" w:rsidRPr="000E3720">
        <w:rPr>
          <w:i/>
        </w:rPr>
        <w:t>never refused</w:t>
      </w:r>
      <w:r w:rsidR="004012DB">
        <w:t xml:space="preserve"> to provide Authorizations to the defense.  To the contrary, counsel offered to provide signed Authorizations which </w:t>
      </w:r>
      <w:r w:rsidR="004012DB">
        <w:rPr>
          <w:u w:val="single"/>
        </w:rPr>
        <w:t>do</w:t>
      </w:r>
      <w:r w:rsidR="000E3720">
        <w:t xml:space="preserve"> pass legal muster:</w:t>
      </w:r>
    </w:p>
    <w:p w:rsidR="004012DB" w:rsidRDefault="004012DB" w:rsidP="004012DB">
      <w:pPr>
        <w:ind w:left="1260" w:right="1440"/>
      </w:pPr>
      <w:r>
        <w:t xml:space="preserve">“As I attempted to explain during the phone CMC, I have Authorizations which </w:t>
      </w:r>
      <w:r>
        <w:rPr>
          <w:i/>
        </w:rPr>
        <w:t xml:space="preserve">do </w:t>
      </w:r>
      <w:r>
        <w:t>comport with R.C. §2317.02(B).  If you confirm that such Authorizations would be sufficient, and specify the medical providers from which you seek records, and I will draft such Authorizations, have my client sign them, and provide them to you.  We will do so with the understanding that copies of all records obtained be provided to me.  I lo</w:t>
      </w:r>
      <w:r w:rsidR="000E3720">
        <w:t>ok forward to hearing from you in</w:t>
      </w:r>
      <w:r>
        <w:t xml:space="preserve"> that regard.”</w:t>
      </w:r>
    </w:p>
    <w:p w:rsidR="004012DB" w:rsidRPr="004012DB" w:rsidRDefault="004012DB" w:rsidP="004012DB">
      <w:pPr>
        <w:ind w:left="1260" w:right="1440"/>
      </w:pPr>
      <w:r>
        <w:tab/>
      </w:r>
      <w:r>
        <w:tab/>
      </w:r>
      <w:r>
        <w:tab/>
      </w:r>
      <w:r>
        <w:tab/>
      </w:r>
      <w:r>
        <w:tab/>
      </w:r>
      <w:r>
        <w:rPr>
          <w:i/>
        </w:rPr>
        <w:t>Id</w:t>
      </w:r>
      <w:r>
        <w:t>. (emphasis in original)</w:t>
      </w:r>
      <w:r w:rsidR="000E3720">
        <w:t>.</w:t>
      </w:r>
    </w:p>
    <w:p w:rsidR="004012DB" w:rsidRPr="004012DB" w:rsidRDefault="004012DB" w:rsidP="004012DB">
      <w:pPr>
        <w:ind w:left="1260" w:right="1440"/>
      </w:pPr>
    </w:p>
    <w:p w:rsidR="004012DB" w:rsidRDefault="004012DB" w:rsidP="004012DB">
      <w:pPr>
        <w:spacing w:line="480" w:lineRule="auto"/>
      </w:pPr>
      <w:r>
        <w:tab/>
        <w:t xml:space="preserve">Instead of responding to the Plaintiff, and without otherwise attempting to resolve this issue (in violation of </w:t>
      </w:r>
      <w:r>
        <w:rPr>
          <w:i/>
        </w:rPr>
        <w:t>Civil Rule</w:t>
      </w:r>
      <w:r>
        <w:t xml:space="preserve"> 37(E)) defense counsel has filed this spurious </w:t>
      </w:r>
      <w:r>
        <w:rPr>
          <w:i/>
        </w:rPr>
        <w:t>Motion to Compel</w:t>
      </w:r>
      <w:r>
        <w:t xml:space="preserve">.  For the reasons that follow, such </w:t>
      </w:r>
      <w:r>
        <w:rPr>
          <w:i/>
        </w:rPr>
        <w:t>Motion</w:t>
      </w:r>
      <w:r>
        <w:t xml:space="preserve"> must be denied.</w:t>
      </w:r>
    </w:p>
    <w:p w:rsidR="004012DB" w:rsidRDefault="004012DB" w:rsidP="004012DB">
      <w:pPr>
        <w:pStyle w:val="ListParagraph"/>
        <w:numPr>
          <w:ilvl w:val="0"/>
          <w:numId w:val="1"/>
        </w:numPr>
        <w:spacing w:line="480" w:lineRule="auto"/>
        <w:rPr>
          <w:b/>
        </w:rPr>
      </w:pPr>
      <w:r>
        <w:rPr>
          <w:b/>
        </w:rPr>
        <w:t>Statement of Law</w:t>
      </w:r>
    </w:p>
    <w:p w:rsidR="004012DB" w:rsidRPr="00C9369A" w:rsidRDefault="004012DB" w:rsidP="004012DB">
      <w:pPr>
        <w:spacing w:line="480" w:lineRule="auto"/>
        <w:rPr>
          <w:u w:val="single"/>
        </w:rPr>
      </w:pPr>
      <w:r>
        <w:rPr>
          <w:b/>
        </w:rPr>
        <w:t xml:space="preserve"> </w:t>
      </w:r>
      <w:r>
        <w:rPr>
          <w:b/>
        </w:rPr>
        <w:tab/>
      </w:r>
      <w:r>
        <w:t>In general, a person’s medical records are protected from disclosure to any third-party by the Physician-Patient Privilege.  R.C</w:t>
      </w:r>
      <w:proofErr w:type="gramStart"/>
      <w:r>
        <w:t>.§</w:t>
      </w:r>
      <w:proofErr w:type="gramEnd"/>
      <w:r>
        <w:t xml:space="preserve">2317.02(B).  The filing of a lawsuit constitutes a </w:t>
      </w:r>
      <w:r w:rsidRPr="004012DB">
        <w:rPr>
          <w:i/>
        </w:rPr>
        <w:t>limited waiver</w:t>
      </w:r>
      <w:r>
        <w:t xml:space="preserve"> of the Privilege, </w:t>
      </w:r>
      <w:r>
        <w:rPr>
          <w:i/>
        </w:rPr>
        <w:t xml:space="preserve">but only </w:t>
      </w:r>
      <w:r w:rsidR="00C9369A">
        <w:t>as to such matters related “</w:t>
      </w:r>
      <w:r w:rsidR="00C9369A">
        <w:rPr>
          <w:i/>
        </w:rPr>
        <w:t>causally or historically</w:t>
      </w:r>
      <w:r w:rsidR="00C9369A">
        <w:t xml:space="preserve"> to physical or mental injuries” alleged in the claim.  </w:t>
      </w:r>
      <w:r w:rsidR="00C9369A">
        <w:rPr>
          <w:i/>
        </w:rPr>
        <w:t>Id</w:t>
      </w:r>
      <w:r w:rsidR="00C9369A">
        <w:t xml:space="preserve">., (emphasis added).  In </w:t>
      </w:r>
      <w:r w:rsidR="00C9369A">
        <w:rPr>
          <w:i/>
        </w:rPr>
        <w:t>Wooten v. Westfield Insurance Co.</w:t>
      </w:r>
      <w:r w:rsidR="00C9369A">
        <w:t>, 181 Ohio App. 3d 59; 2009-Ohio-494; 907 N.E.2d 1219 (8</w:t>
      </w:r>
      <w:r w:rsidR="00C9369A" w:rsidRPr="00C9369A">
        <w:rPr>
          <w:vertAlign w:val="superscript"/>
        </w:rPr>
        <w:t>th</w:t>
      </w:r>
      <w:r w:rsidR="000E3720">
        <w:t xml:space="preserve"> D</w:t>
      </w:r>
      <w:r w:rsidR="00C9369A">
        <w:t xml:space="preserve">ist.), our Court of Appeals </w:t>
      </w:r>
      <w:r w:rsidR="00C9369A">
        <w:lastRenderedPageBreak/>
        <w:t>held that blanket medical authorizations, such as the one Defendant herein demands that Plaintiff sign, are impermissible.  As the Court admonished:</w:t>
      </w:r>
    </w:p>
    <w:p w:rsidR="004012DB" w:rsidRPr="00C9369A" w:rsidRDefault="00C9369A" w:rsidP="00C9369A">
      <w:pPr>
        <w:pStyle w:val="ListParagraph"/>
        <w:ind w:right="720"/>
        <w:rPr>
          <w:b/>
        </w:rPr>
      </w:pPr>
      <w:r>
        <w:t xml:space="preserve">“[I]t is nonetheless not true that a plaintiff filing a personal injury claim opens herself up to exposure, without limitation, of </w:t>
      </w:r>
      <w:r w:rsidRPr="000E3720">
        <w:rPr>
          <w:i/>
        </w:rPr>
        <w:t>all</w:t>
      </w:r>
      <w:r>
        <w:t xml:space="preserve"> of her medical records.  Rather, R.C. 2317.02(B</w:t>
      </w:r>
      <w:proofErr w:type="gramStart"/>
      <w:r>
        <w:t>)(</w:t>
      </w:r>
      <w:proofErr w:type="gramEnd"/>
      <w:r>
        <w:t>3)(a) limits discovery in such a case to medical records that are causally or historically related to the physical or mental injuries that are relevant to the issues in the case.”</w:t>
      </w:r>
    </w:p>
    <w:p w:rsidR="00C9369A" w:rsidRDefault="00C9369A" w:rsidP="00C9369A">
      <w:pPr>
        <w:ind w:left="1260" w:right="1440"/>
      </w:pPr>
      <w:r>
        <w:tab/>
      </w:r>
      <w:r>
        <w:tab/>
      </w:r>
      <w:r>
        <w:tab/>
      </w:r>
      <w:r>
        <w:tab/>
      </w:r>
      <w:r>
        <w:tab/>
      </w:r>
      <w:r>
        <w:rPr>
          <w:i/>
        </w:rPr>
        <w:t>Id</w:t>
      </w:r>
      <w:r>
        <w:t>. at 907 N.E.2d</w:t>
      </w:r>
    </w:p>
    <w:p w:rsidR="00C9369A" w:rsidRDefault="00C9369A" w:rsidP="00C9369A">
      <w:pPr>
        <w:ind w:left="4140" w:right="1440" w:firstLine="180"/>
      </w:pPr>
      <w:r>
        <w:t>p. 1221 (emphasis in original)</w:t>
      </w:r>
    </w:p>
    <w:p w:rsidR="00C9369A" w:rsidRPr="004012DB" w:rsidRDefault="00C9369A" w:rsidP="00C9369A">
      <w:pPr>
        <w:ind w:left="4140" w:right="1440" w:firstLine="180"/>
      </w:pPr>
    </w:p>
    <w:p w:rsidR="004012DB" w:rsidRDefault="00C9369A" w:rsidP="00C9369A">
      <w:pPr>
        <w:spacing w:line="480" w:lineRule="auto"/>
      </w:pPr>
      <w:r>
        <w:t xml:space="preserve">In </w:t>
      </w:r>
      <w:r>
        <w:rPr>
          <w:i/>
        </w:rPr>
        <w:t>Piatt v. Miller</w:t>
      </w:r>
      <w:r>
        <w:t>, 2010-Ohio-1363 (6</w:t>
      </w:r>
      <w:r w:rsidRPr="00C9369A">
        <w:rPr>
          <w:vertAlign w:val="superscript"/>
        </w:rPr>
        <w:t>th</w:t>
      </w:r>
      <w:r>
        <w:t xml:space="preserve"> Dist.)(</w:t>
      </w:r>
      <w:proofErr w:type="gramStart"/>
      <w:r>
        <w:t>concurring</w:t>
      </w:r>
      <w:proofErr w:type="gramEnd"/>
      <w:r>
        <w:t xml:space="preserve"> opinion), the rationale behind the prohibition against overbroad medical authorizations is made clear:</w:t>
      </w:r>
    </w:p>
    <w:p w:rsidR="000A6A49" w:rsidRDefault="00C9369A" w:rsidP="000E3720">
      <w:pPr>
        <w:pStyle w:val="ListParagraph"/>
        <w:ind w:right="720"/>
      </w:pPr>
      <w:r>
        <w:t xml:space="preserve">“. . </w:t>
      </w:r>
      <w:proofErr w:type="gramStart"/>
      <w:r>
        <w:t>.[</w:t>
      </w:r>
      <w:proofErr w:type="gramEnd"/>
      <w:r>
        <w:t>B]road discovery requests for a plaintiff</w:t>
      </w:r>
      <w:r w:rsidR="000E3720">
        <w:t>’</w:t>
      </w:r>
      <w:r>
        <w:t>s entire medical history, such as demanding an all-encompassi</w:t>
      </w:r>
      <w:r w:rsidR="000E3720">
        <w:t>ng HIPPA release, are improper ‘</w:t>
      </w:r>
      <w:r>
        <w:t>f</w:t>
      </w:r>
      <w:r w:rsidR="000E3720">
        <w:t>ishing expeditions,’</w:t>
      </w:r>
      <w:r>
        <w:t xml:space="preserve"> designed to embarrass, intimidate and stifle a plaintiff</w:t>
      </w:r>
      <w:r w:rsidR="000E3720">
        <w:t>’</w:t>
      </w:r>
      <w:r>
        <w:t>s claims</w:t>
      </w:r>
      <w:r w:rsidR="000E3720">
        <w:t>.</w:t>
      </w:r>
      <w:r>
        <w:t xml:space="preserve">  There is no provision in the discovery rules to compel execution of such a release, which is tantamount to requiring the creation of documents that do not exist.  </w:t>
      </w:r>
      <w:r w:rsidR="000A6A49">
        <w:t>Further, granting a motion to compel such overbroad requests creates a chilling effect on an injured plaintiff’s willingness to file suit and risk the unnecessary exposure of private, unrelated medical information.”</w:t>
      </w:r>
    </w:p>
    <w:p w:rsidR="000E3720" w:rsidRDefault="000E3720" w:rsidP="000E3720">
      <w:pPr>
        <w:pStyle w:val="ListParagraph"/>
        <w:ind w:right="720"/>
      </w:pPr>
    </w:p>
    <w:p w:rsidR="000A6A49" w:rsidRDefault="000A6A49" w:rsidP="000A6A49">
      <w:pPr>
        <w:spacing w:line="480" w:lineRule="auto"/>
      </w:pPr>
      <w:r>
        <w:t xml:space="preserve">Our Court of Appeals has specifically reversed a trial court order </w:t>
      </w:r>
      <w:r w:rsidR="000E3720">
        <w:t>to sign</w:t>
      </w:r>
      <w:r>
        <w:t xml:space="preserve"> authorizations which allowed the release of “AIDS and HIV, mental health services, and a</w:t>
      </w:r>
      <w:r w:rsidR="000E3720">
        <w:t>lcohol and drug abuse treatment.</w:t>
      </w:r>
      <w:r>
        <w:t xml:space="preserve">”  </w:t>
      </w:r>
      <w:proofErr w:type="spellStart"/>
      <w:r>
        <w:rPr>
          <w:i/>
        </w:rPr>
        <w:t>Pinnix</w:t>
      </w:r>
      <w:proofErr w:type="spellEnd"/>
      <w:r>
        <w:rPr>
          <w:i/>
        </w:rPr>
        <w:t xml:space="preserve"> v. Marc Glassman, Inc.</w:t>
      </w:r>
      <w:r>
        <w:t>, 2012-Ohio-3263 (8</w:t>
      </w:r>
      <w:r w:rsidRPr="000A6A49">
        <w:rPr>
          <w:vertAlign w:val="superscript"/>
        </w:rPr>
        <w:t>th</w:t>
      </w:r>
      <w:r>
        <w:t xml:space="preserve"> Dist.).</w:t>
      </w:r>
    </w:p>
    <w:p w:rsidR="000A6A49" w:rsidRDefault="000E3720" w:rsidP="000A6A49">
      <w:pPr>
        <w:spacing w:line="480" w:lineRule="auto"/>
      </w:pPr>
      <w:r>
        <w:tab/>
        <w:t>In s</w:t>
      </w:r>
      <w:r w:rsidR="000A6A49">
        <w:t xml:space="preserve">hort, a plaintiff in a personal injury case still enjoys </w:t>
      </w:r>
      <w:r w:rsidR="003C2814">
        <w:t xml:space="preserve">the </w:t>
      </w:r>
      <w:r w:rsidR="000A6A49">
        <w:t>Physician-Patient Privilege to keep unrelated medical records from the pr</w:t>
      </w:r>
      <w:r>
        <w:t>ying eyes of the defense.  The A</w:t>
      </w:r>
      <w:r w:rsidR="000A6A49">
        <w:t>uthorization Defendant demands that Plaintiff sign is not limited to the described areas of the body injured, and would allow the defense to rummage through highly personal and private, irrelevant records.</w:t>
      </w:r>
    </w:p>
    <w:p w:rsidR="000A6A49" w:rsidRDefault="000A6A49" w:rsidP="000A6A49">
      <w:pPr>
        <w:spacing w:line="480" w:lineRule="auto"/>
      </w:pPr>
      <w:r>
        <w:tab/>
        <w:t xml:space="preserve">In the present case, Plaintiff alleges that as a result of this collision, she suffered a </w:t>
      </w:r>
      <w:r w:rsidRPr="000A6A49">
        <w:rPr>
          <w:i/>
        </w:rPr>
        <w:t>right wrist fracture</w:t>
      </w:r>
      <w:r>
        <w:t xml:space="preserve">, and minor </w:t>
      </w:r>
      <w:r>
        <w:rPr>
          <w:i/>
        </w:rPr>
        <w:t>low back strain</w:t>
      </w:r>
      <w:r>
        <w:t xml:space="preserve"> and </w:t>
      </w:r>
      <w:r>
        <w:rPr>
          <w:i/>
        </w:rPr>
        <w:t>knee bruise</w:t>
      </w:r>
      <w:r>
        <w:t>.  Plainly, HIV/AIDS tests, prior psychiatric care, and the like have nothing to do with th</w:t>
      </w:r>
      <w:r w:rsidR="003C2814">
        <w:t>o</w:t>
      </w:r>
      <w:r>
        <w:t>se injuries.</w:t>
      </w:r>
      <w:r w:rsidR="003C2814">
        <w:t xml:space="preserve">  Plaintiff has not waived the </w:t>
      </w:r>
      <w:r w:rsidR="003C2814">
        <w:lastRenderedPageBreak/>
        <w:t>Privilege regarding unrelated medical records and as such cannot be compelled to sign an Authorization for defense counsel to obtain such records.</w:t>
      </w:r>
      <w:r w:rsidR="00203432">
        <w:t xml:space="preserve">  </w:t>
      </w:r>
      <w:r>
        <w:t xml:space="preserve">As such, Defendant’s </w:t>
      </w:r>
      <w:r>
        <w:rPr>
          <w:i/>
        </w:rPr>
        <w:t>Motion to Compel</w:t>
      </w:r>
      <w:r>
        <w:t xml:space="preserve"> must be denied.</w:t>
      </w:r>
    </w:p>
    <w:p w:rsidR="008851E1" w:rsidRDefault="008851E1" w:rsidP="008851E1">
      <w:pPr>
        <w:pStyle w:val="ListParagraph"/>
        <w:numPr>
          <w:ilvl w:val="0"/>
          <w:numId w:val="1"/>
        </w:numPr>
        <w:spacing w:line="480" w:lineRule="auto"/>
        <w:rPr>
          <w:b/>
        </w:rPr>
      </w:pPr>
      <w:r>
        <w:rPr>
          <w:b/>
        </w:rPr>
        <w:t>Attorney’s Fees</w:t>
      </w:r>
    </w:p>
    <w:p w:rsidR="000E3720" w:rsidRDefault="008851E1" w:rsidP="00203432">
      <w:pPr>
        <w:pStyle w:val="ListParagraph"/>
        <w:spacing w:line="480" w:lineRule="auto"/>
        <w:ind w:left="90"/>
      </w:pPr>
      <w:r>
        <w:t xml:space="preserve"> </w:t>
      </w:r>
      <w:r>
        <w:tab/>
      </w:r>
      <w:r>
        <w:rPr>
          <w:i/>
        </w:rPr>
        <w:t>Civil Rule</w:t>
      </w:r>
      <w:r>
        <w:t xml:space="preserve"> 37(E) requires that </w:t>
      </w:r>
      <w:r>
        <w:rPr>
          <w:i/>
        </w:rPr>
        <w:t>before</w:t>
      </w:r>
      <w:r>
        <w:t xml:space="preserve"> filing a </w:t>
      </w:r>
      <w:r>
        <w:rPr>
          <w:i/>
        </w:rPr>
        <w:t>Motion to Compel</w:t>
      </w:r>
      <w:r>
        <w:t>, a party must “make a reasonable effort to resolve</w:t>
      </w:r>
      <w:r w:rsidR="000E3720">
        <w:t xml:space="preserve"> the matter through discussion” </w:t>
      </w:r>
      <w:r>
        <w:t xml:space="preserve">with opposing counsel.  Defense counsel failed to do so here, unnecessarily wasting the time of this Court, and </w:t>
      </w:r>
      <w:r w:rsidR="000E3720">
        <w:t>forcing</w:t>
      </w:r>
      <w:r>
        <w:t xml:space="preserve"> Plaintiff to respond to a </w:t>
      </w:r>
      <w:r w:rsidR="000E3720">
        <w:t>specious</w:t>
      </w:r>
      <w:r>
        <w:t xml:space="preserve"> </w:t>
      </w:r>
      <w:r>
        <w:rPr>
          <w:i/>
        </w:rPr>
        <w:t>Motion</w:t>
      </w:r>
      <w:r>
        <w:t>.</w:t>
      </w:r>
      <w:r w:rsidR="003C2814">
        <w:t xml:space="preserve">  </w:t>
      </w:r>
      <w:r>
        <w:t xml:space="preserve">Moreover, the Rule requires that a </w:t>
      </w:r>
      <w:r w:rsidRPr="003C2814">
        <w:rPr>
          <w:i/>
        </w:rPr>
        <w:t xml:space="preserve">Motion to Compel </w:t>
      </w:r>
      <w:r>
        <w:t xml:space="preserve">“shall be accompanied by a statement reciting the efforts made to resolve the matter in accordance with this section.”  </w:t>
      </w:r>
      <w:r w:rsidRPr="003C2814">
        <w:rPr>
          <w:i/>
        </w:rPr>
        <w:t>Id.</w:t>
      </w:r>
      <w:r>
        <w:t xml:space="preserve">  Again, defense counsel failed to do so.</w:t>
      </w:r>
      <w:r w:rsidR="00203432">
        <w:t xml:space="preserve">  </w:t>
      </w:r>
      <w:r>
        <w:t xml:space="preserve">Finally, </w:t>
      </w:r>
      <w:r w:rsidRPr="00203432">
        <w:rPr>
          <w:i/>
        </w:rPr>
        <w:t>Civil Rule</w:t>
      </w:r>
      <w:r>
        <w:t xml:space="preserve"> 37(A</w:t>
      </w:r>
      <w:proofErr w:type="gramStart"/>
      <w:r>
        <w:t>)(</w:t>
      </w:r>
      <w:proofErr w:type="gramEnd"/>
      <w:r>
        <w:t xml:space="preserve">4) </w:t>
      </w:r>
      <w:r w:rsidR="000E3720">
        <w:t>authorizes</w:t>
      </w:r>
      <w:r>
        <w:t xml:space="preserve"> the Court to award attorney’s fees to the non-moving pending, if such </w:t>
      </w:r>
      <w:r w:rsidRPr="00203432">
        <w:rPr>
          <w:i/>
        </w:rPr>
        <w:t>Motion to Compel</w:t>
      </w:r>
      <w:r>
        <w:t xml:space="preserve"> is denied.  Such </w:t>
      </w:r>
      <w:r w:rsidR="00203432">
        <w:t>a</w:t>
      </w:r>
      <w:r>
        <w:t xml:space="preserve">n award is justified here. </w:t>
      </w:r>
    </w:p>
    <w:p w:rsidR="00F74D9E" w:rsidRDefault="00F74D9E" w:rsidP="00F74D9E">
      <w:pPr>
        <w:pStyle w:val="ListParagraph"/>
        <w:ind w:left="86"/>
      </w:pPr>
      <w:r>
        <w:tab/>
      </w:r>
      <w:r>
        <w:tab/>
      </w:r>
      <w:r>
        <w:tab/>
      </w:r>
      <w:r>
        <w:tab/>
      </w:r>
      <w:r>
        <w:tab/>
      </w:r>
      <w:r>
        <w:tab/>
      </w:r>
      <w:bookmarkStart w:id="0" w:name="_GoBack"/>
      <w:bookmarkEnd w:id="0"/>
    </w:p>
    <w:p w:rsidR="003C2814" w:rsidRDefault="003C2814" w:rsidP="00F74D9E">
      <w:pPr>
        <w:pStyle w:val="ListParagraph"/>
        <w:ind w:left="86"/>
      </w:pPr>
    </w:p>
    <w:p w:rsidR="003C2814" w:rsidRDefault="003C2814" w:rsidP="00F74D9E">
      <w:pPr>
        <w:pStyle w:val="ListParagraph"/>
        <w:ind w:left="86"/>
      </w:pPr>
    </w:p>
    <w:p w:rsidR="003C2814" w:rsidRDefault="003C2814" w:rsidP="00F74D9E">
      <w:pPr>
        <w:pStyle w:val="ListParagraph"/>
        <w:ind w:left="86"/>
      </w:pPr>
    </w:p>
    <w:p w:rsidR="003C2814" w:rsidRDefault="003C2814" w:rsidP="00F74D9E">
      <w:pPr>
        <w:pStyle w:val="ListParagraph"/>
        <w:ind w:left="86"/>
      </w:pPr>
    </w:p>
    <w:p w:rsidR="003C2814" w:rsidRDefault="003C2814" w:rsidP="00F74D9E">
      <w:pPr>
        <w:pStyle w:val="ListParagraph"/>
        <w:ind w:left="86"/>
      </w:pPr>
    </w:p>
    <w:p w:rsidR="003C2814" w:rsidRDefault="003C2814" w:rsidP="00F74D9E">
      <w:pPr>
        <w:pStyle w:val="ListParagraph"/>
        <w:ind w:left="86"/>
      </w:pPr>
    </w:p>
    <w:p w:rsidR="00F74D9E" w:rsidRDefault="00F74D9E" w:rsidP="00F74D9E">
      <w:pPr>
        <w:pStyle w:val="ListParagraph"/>
        <w:ind w:left="86"/>
      </w:pPr>
      <w:r>
        <w:tab/>
      </w:r>
      <w:r>
        <w:tab/>
      </w:r>
      <w:r>
        <w:tab/>
      </w:r>
      <w:r>
        <w:tab/>
      </w:r>
      <w:r>
        <w:tab/>
      </w:r>
      <w:r>
        <w:tab/>
      </w:r>
      <w:r>
        <w:rPr>
          <w:u w:val="single"/>
        </w:rPr>
        <w:tab/>
      </w:r>
      <w:r>
        <w:rPr>
          <w:u w:val="single"/>
        </w:rPr>
        <w:tab/>
      </w:r>
      <w:r>
        <w:rPr>
          <w:u w:val="single"/>
        </w:rPr>
        <w:tab/>
      </w:r>
      <w:r>
        <w:rPr>
          <w:u w:val="single"/>
        </w:rPr>
        <w:tab/>
      </w:r>
      <w:r>
        <w:rPr>
          <w:u w:val="single"/>
        </w:rPr>
        <w:tab/>
        <w:t>__</w:t>
      </w:r>
    </w:p>
    <w:p w:rsidR="000E3720" w:rsidRDefault="000E3720" w:rsidP="00F74D9E">
      <w:pPr>
        <w:tabs>
          <w:tab w:val="left" w:pos="720"/>
          <w:tab w:val="left" w:pos="1440"/>
          <w:tab w:val="left" w:pos="4320"/>
          <w:tab w:val="left" w:pos="5040"/>
        </w:tabs>
      </w:pPr>
      <w:r>
        <w:tab/>
      </w:r>
      <w:r>
        <w:tab/>
      </w:r>
      <w:r>
        <w:tab/>
        <w:t>DAVID I. POMERANTZ, ESQ. 0029723</w:t>
      </w:r>
    </w:p>
    <w:p w:rsidR="000E3720" w:rsidRDefault="000E3720" w:rsidP="000E3720">
      <w:pPr>
        <w:tabs>
          <w:tab w:val="left" w:pos="720"/>
          <w:tab w:val="left" w:pos="1440"/>
          <w:tab w:val="left" w:pos="4320"/>
          <w:tab w:val="left" w:pos="5040"/>
        </w:tabs>
      </w:pPr>
      <w:r>
        <w:tab/>
      </w:r>
      <w:r>
        <w:tab/>
      </w:r>
      <w:r>
        <w:tab/>
        <w:t>Attorney for Plaintiff</w:t>
      </w:r>
    </w:p>
    <w:p w:rsidR="000E3720" w:rsidRDefault="000E3720" w:rsidP="000E3720">
      <w:pPr>
        <w:tabs>
          <w:tab w:val="left" w:pos="720"/>
          <w:tab w:val="left" w:pos="1440"/>
          <w:tab w:val="left" w:pos="4320"/>
          <w:tab w:val="left" w:pos="5040"/>
        </w:tabs>
      </w:pPr>
      <w:r>
        <w:tab/>
      </w:r>
      <w:r>
        <w:tab/>
      </w:r>
      <w:r>
        <w:tab/>
        <w:t>POMERANTZ &amp; CROSBY CO., L.P.A.</w:t>
      </w:r>
    </w:p>
    <w:p w:rsidR="000E3720" w:rsidRDefault="000E3720" w:rsidP="000E3720">
      <w:pPr>
        <w:tabs>
          <w:tab w:val="left" w:pos="720"/>
          <w:tab w:val="left" w:pos="1440"/>
          <w:tab w:val="left" w:pos="4320"/>
          <w:tab w:val="left" w:pos="5040"/>
        </w:tabs>
      </w:pPr>
      <w:r>
        <w:tab/>
      </w:r>
      <w:r>
        <w:tab/>
      </w:r>
      <w:r>
        <w:tab/>
      </w:r>
      <w:smartTag w:uri="urn:schemas-microsoft-com:office:smarttags" w:element="Street">
        <w:smartTag w:uri="urn:schemas-microsoft-com:office:smarttags" w:element="address">
          <w:smartTag w:uri="urn:schemas-microsoft-com:office:smarttags" w:element="Street">
            <w:smartTag w:uri="urn:schemas-microsoft-com:office:smarttags" w:element="address">
              <w:r>
                <w:t>24700 Chagrin Blvd.</w:t>
              </w:r>
            </w:smartTag>
          </w:smartTag>
          <w:r>
            <w:t>, Suite 309</w:t>
          </w:r>
        </w:smartTag>
      </w:smartTag>
    </w:p>
    <w:p w:rsidR="000E3720" w:rsidRDefault="000E3720" w:rsidP="000E3720">
      <w:pPr>
        <w:tabs>
          <w:tab w:val="left" w:pos="720"/>
          <w:tab w:val="left" w:pos="1440"/>
          <w:tab w:val="left" w:pos="4320"/>
          <w:tab w:val="left" w:pos="5040"/>
        </w:tabs>
      </w:pPr>
      <w:r>
        <w:tab/>
      </w:r>
      <w:r>
        <w:tab/>
      </w:r>
      <w:r>
        <w:tab/>
      </w:r>
      <w:smartTag w:uri="urn:schemas-microsoft-com:office:smarttags" w:element="place">
        <w:smartTag w:uri="urn:schemas-microsoft-com:office:smarttags" w:element="City">
          <w:r>
            <w:t>Beachwood</w:t>
          </w:r>
        </w:smartTag>
        <w:r>
          <w:t xml:space="preserve">, </w:t>
        </w:r>
        <w:smartTag w:uri="urn:schemas-microsoft-com:office:smarttags" w:element="State">
          <w:r>
            <w:t>Ohio</w:t>
          </w:r>
        </w:smartTag>
        <w:r>
          <w:t xml:space="preserve"> </w:t>
        </w:r>
        <w:smartTag w:uri="urn:schemas-microsoft-com:office:smarttags" w:element="PostalCode">
          <w:r>
            <w:t>44122</w:t>
          </w:r>
        </w:smartTag>
      </w:smartTag>
    </w:p>
    <w:p w:rsidR="000E3720" w:rsidRDefault="000E3720" w:rsidP="000E3720">
      <w:pPr>
        <w:tabs>
          <w:tab w:val="left" w:pos="720"/>
          <w:tab w:val="left" w:pos="1440"/>
          <w:tab w:val="left" w:pos="4320"/>
          <w:tab w:val="left" w:pos="5040"/>
        </w:tabs>
      </w:pPr>
      <w:r>
        <w:tab/>
      </w:r>
      <w:r>
        <w:tab/>
      </w:r>
      <w:r>
        <w:tab/>
        <w:t>(216) 587-1221</w:t>
      </w:r>
    </w:p>
    <w:p w:rsidR="000E3720" w:rsidRDefault="000E3720" w:rsidP="000E3720">
      <w:pPr>
        <w:tabs>
          <w:tab w:val="left" w:pos="720"/>
          <w:tab w:val="left" w:pos="1440"/>
          <w:tab w:val="left" w:pos="4320"/>
          <w:tab w:val="left" w:pos="5040"/>
        </w:tabs>
      </w:pPr>
      <w:r>
        <w:tab/>
      </w:r>
      <w:r>
        <w:tab/>
      </w:r>
      <w:r>
        <w:tab/>
        <w:t>Fax No.: (216) 587-1819</w:t>
      </w:r>
    </w:p>
    <w:p w:rsidR="008851E1" w:rsidRDefault="008851E1" w:rsidP="008851E1">
      <w:pPr>
        <w:pStyle w:val="ListParagraph"/>
        <w:spacing w:line="480" w:lineRule="auto"/>
        <w:ind w:left="90"/>
      </w:pPr>
    </w:p>
    <w:p w:rsidR="000E3720" w:rsidRDefault="000E3720" w:rsidP="008851E1">
      <w:pPr>
        <w:pStyle w:val="ListParagraph"/>
        <w:spacing w:line="480" w:lineRule="auto"/>
        <w:ind w:left="90"/>
      </w:pPr>
    </w:p>
    <w:p w:rsidR="008851E1" w:rsidRDefault="008851E1" w:rsidP="008851E1">
      <w:pPr>
        <w:pStyle w:val="ListParagraph"/>
        <w:spacing w:line="480" w:lineRule="auto"/>
        <w:ind w:left="90"/>
      </w:pPr>
    </w:p>
    <w:p w:rsidR="008851E1" w:rsidRDefault="008851E1" w:rsidP="008851E1">
      <w:pPr>
        <w:tabs>
          <w:tab w:val="left" w:pos="720"/>
          <w:tab w:val="left" w:pos="1440"/>
          <w:tab w:val="left" w:pos="4320"/>
          <w:tab w:val="left" w:pos="5040"/>
        </w:tabs>
        <w:jc w:val="center"/>
        <w:rPr>
          <w:b/>
          <w:u w:val="single"/>
        </w:rPr>
      </w:pPr>
      <w:r>
        <w:rPr>
          <w:b/>
          <w:u w:val="single"/>
        </w:rPr>
        <w:lastRenderedPageBreak/>
        <w:t>CERTIFICATE OF SERVICE</w:t>
      </w:r>
    </w:p>
    <w:p w:rsidR="008851E1" w:rsidRDefault="008851E1" w:rsidP="008851E1">
      <w:pPr>
        <w:tabs>
          <w:tab w:val="left" w:pos="720"/>
          <w:tab w:val="left" w:pos="1440"/>
          <w:tab w:val="left" w:pos="4320"/>
          <w:tab w:val="left" w:pos="5040"/>
        </w:tabs>
      </w:pPr>
    </w:p>
    <w:p w:rsidR="008851E1" w:rsidRDefault="008851E1" w:rsidP="008851E1">
      <w:r>
        <w:tab/>
        <w:t xml:space="preserve">I hereby certify that a copy of the foregoing Plaintiff’s Brief </w:t>
      </w:r>
      <w:proofErr w:type="gramStart"/>
      <w:r>
        <w:t>In</w:t>
      </w:r>
      <w:proofErr w:type="gramEnd"/>
      <w:r>
        <w:t xml:space="preserve"> Opposition to “Motion to Compel for Signed Medical Authorizations” and Motion for Attorney’s Fees was served via first-class U.S. Mail, postage prepaid, this _____ day of September, 2013, upon:</w:t>
      </w:r>
    </w:p>
    <w:p w:rsidR="008851E1" w:rsidRDefault="008851E1" w:rsidP="008851E1"/>
    <w:p w:rsidR="008851E1" w:rsidRPr="00A15158" w:rsidRDefault="008851E1" w:rsidP="008851E1">
      <w:pPr>
        <w:tabs>
          <w:tab w:val="left" w:pos="720"/>
          <w:tab w:val="left" w:pos="1440"/>
          <w:tab w:val="left" w:pos="3240"/>
          <w:tab w:val="left" w:pos="3600"/>
          <w:tab w:val="left" w:pos="4320"/>
        </w:tabs>
        <w:jc w:val="center"/>
        <w:rPr>
          <w:b/>
        </w:rPr>
      </w:pPr>
      <w:r>
        <w:rPr>
          <w:b/>
        </w:rPr>
        <w:t xml:space="preserve">Ms. Karen </w:t>
      </w:r>
      <w:proofErr w:type="spellStart"/>
      <w:r>
        <w:rPr>
          <w:b/>
        </w:rPr>
        <w:t>Fout</w:t>
      </w:r>
      <w:proofErr w:type="spellEnd"/>
    </w:p>
    <w:p w:rsidR="008851E1" w:rsidRPr="00A15158" w:rsidRDefault="008851E1" w:rsidP="008851E1">
      <w:pPr>
        <w:tabs>
          <w:tab w:val="left" w:pos="720"/>
          <w:tab w:val="left" w:pos="1440"/>
          <w:tab w:val="left" w:pos="3240"/>
          <w:tab w:val="left" w:pos="3600"/>
          <w:tab w:val="left" w:pos="4320"/>
        </w:tabs>
        <w:jc w:val="center"/>
        <w:rPr>
          <w:b/>
        </w:rPr>
      </w:pPr>
      <w:r>
        <w:rPr>
          <w:b/>
        </w:rPr>
        <w:t>Attorney for Defendant</w:t>
      </w:r>
    </w:p>
    <w:p w:rsidR="008851E1" w:rsidRDefault="008851E1" w:rsidP="008851E1">
      <w:pPr>
        <w:tabs>
          <w:tab w:val="left" w:pos="720"/>
          <w:tab w:val="left" w:pos="1440"/>
          <w:tab w:val="left" w:pos="3240"/>
          <w:tab w:val="left" w:pos="3600"/>
          <w:tab w:val="left" w:pos="4320"/>
        </w:tabs>
        <w:jc w:val="center"/>
      </w:pPr>
      <w:smartTag w:uri="urn:schemas-microsoft-com:office:smarttags" w:element="Street">
        <w:smartTag w:uri="urn:schemas-microsoft-com:office:smarttags" w:element="address">
          <w:r>
            <w:t>55 Public Square, Suite 725</w:t>
          </w:r>
        </w:smartTag>
      </w:smartTag>
    </w:p>
    <w:p w:rsidR="008851E1" w:rsidRDefault="008851E1" w:rsidP="008851E1">
      <w:pPr>
        <w:tabs>
          <w:tab w:val="left" w:pos="720"/>
          <w:tab w:val="left" w:pos="1440"/>
          <w:tab w:val="left" w:pos="3240"/>
          <w:tab w:val="left" w:pos="3600"/>
          <w:tab w:val="left" w:pos="4320"/>
        </w:tabs>
        <w:jc w:val="center"/>
      </w:pPr>
      <w:smartTag w:uri="urn:schemas-microsoft-com:office:smarttags" w:element="place">
        <w:smartTag w:uri="urn:schemas-microsoft-com:office:smarttags" w:element="City">
          <w:r>
            <w:t>Cleveland</w:t>
          </w:r>
        </w:smartTag>
        <w:r>
          <w:t xml:space="preserve">, </w:t>
        </w:r>
        <w:smartTag w:uri="urn:schemas-microsoft-com:office:smarttags" w:element="State">
          <w:r>
            <w:t>Ohio</w:t>
          </w:r>
        </w:smartTag>
        <w:r>
          <w:t xml:space="preserve"> </w:t>
        </w:r>
        <w:smartTag w:uri="urn:schemas-microsoft-com:office:smarttags" w:element="PostalCode">
          <w:r>
            <w:t>44113-1901</w:t>
          </w:r>
        </w:smartTag>
      </w:smartTag>
    </w:p>
    <w:p w:rsidR="008851E1" w:rsidRDefault="008851E1" w:rsidP="008851E1">
      <w:pPr>
        <w:jc w:val="center"/>
      </w:pPr>
    </w:p>
    <w:p w:rsidR="008851E1" w:rsidRDefault="008851E1" w:rsidP="008851E1"/>
    <w:p w:rsidR="008851E1" w:rsidRDefault="008851E1" w:rsidP="008851E1"/>
    <w:p w:rsidR="008851E1" w:rsidRDefault="008851E1" w:rsidP="008851E1"/>
    <w:p w:rsidR="008851E1" w:rsidRDefault="008851E1" w:rsidP="008851E1">
      <w:pPr>
        <w:tabs>
          <w:tab w:val="left" w:pos="720"/>
          <w:tab w:val="left" w:pos="1440"/>
          <w:tab w:val="left" w:pos="4320"/>
          <w:tab w:val="left" w:pos="5040"/>
        </w:tabs>
      </w:pPr>
      <w:r>
        <w:tab/>
      </w:r>
      <w:r>
        <w:tab/>
      </w:r>
      <w:r>
        <w:tab/>
      </w:r>
      <w:r>
        <w:rPr>
          <w:u w:val="single"/>
        </w:rPr>
        <w:tab/>
      </w:r>
      <w:r>
        <w:rPr>
          <w:u w:val="single"/>
        </w:rPr>
        <w:tab/>
      </w:r>
      <w:r>
        <w:rPr>
          <w:u w:val="single"/>
        </w:rPr>
        <w:tab/>
      </w:r>
      <w:r>
        <w:rPr>
          <w:u w:val="single"/>
        </w:rPr>
        <w:tab/>
      </w:r>
      <w:r>
        <w:rPr>
          <w:u w:val="single"/>
        </w:rPr>
        <w:tab/>
      </w:r>
    </w:p>
    <w:p w:rsidR="008851E1" w:rsidRDefault="008851E1" w:rsidP="008851E1">
      <w:pPr>
        <w:tabs>
          <w:tab w:val="left" w:pos="720"/>
          <w:tab w:val="left" w:pos="1440"/>
          <w:tab w:val="left" w:pos="4320"/>
          <w:tab w:val="left" w:pos="5040"/>
        </w:tabs>
      </w:pPr>
      <w:r>
        <w:tab/>
      </w:r>
      <w:r>
        <w:tab/>
      </w:r>
      <w:r>
        <w:tab/>
        <w:t>DAVID I. POMERANTZ, ESQ.</w:t>
      </w:r>
    </w:p>
    <w:p w:rsidR="008851E1" w:rsidRDefault="008851E1" w:rsidP="008851E1">
      <w:pPr>
        <w:tabs>
          <w:tab w:val="left" w:pos="720"/>
          <w:tab w:val="left" w:pos="1440"/>
          <w:tab w:val="left" w:pos="4320"/>
          <w:tab w:val="left" w:pos="5040"/>
        </w:tabs>
      </w:pPr>
      <w:r>
        <w:tab/>
      </w:r>
      <w:r>
        <w:tab/>
      </w:r>
      <w:r>
        <w:tab/>
        <w:t>Attorney for Plaintiff</w:t>
      </w:r>
    </w:p>
    <w:p w:rsidR="008851E1" w:rsidRPr="008851E1" w:rsidRDefault="008851E1" w:rsidP="008851E1">
      <w:pPr>
        <w:pStyle w:val="ListParagraph"/>
        <w:spacing w:line="480" w:lineRule="auto"/>
        <w:ind w:left="90"/>
      </w:pPr>
    </w:p>
    <w:p w:rsidR="000A6A49" w:rsidRPr="008851E1" w:rsidRDefault="000A6A49" w:rsidP="000A6A49">
      <w:pPr>
        <w:spacing w:line="480" w:lineRule="auto"/>
      </w:pPr>
    </w:p>
    <w:sectPr w:rsidR="000A6A49" w:rsidRPr="008851E1" w:rsidSect="00203432">
      <w:pgSz w:w="12240" w:h="15840" w:code="1"/>
      <w:pgMar w:top="2880" w:right="720" w:bottom="720" w:left="2160" w:header="720" w:footer="720" w:gutter="0"/>
      <w:paperSrc w:first="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01150"/>
    <w:multiLevelType w:val="hybridMultilevel"/>
    <w:tmpl w:val="2320086C"/>
    <w:lvl w:ilvl="0" w:tplc="7660D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F4502"/>
    <w:multiLevelType w:val="hybridMultilevel"/>
    <w:tmpl w:val="2320086C"/>
    <w:lvl w:ilvl="0" w:tplc="7660D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6220E1"/>
    <w:multiLevelType w:val="hybridMultilevel"/>
    <w:tmpl w:val="2320086C"/>
    <w:lvl w:ilvl="0" w:tplc="7660D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B7434"/>
    <w:multiLevelType w:val="hybridMultilevel"/>
    <w:tmpl w:val="E94823B4"/>
    <w:lvl w:ilvl="0" w:tplc="F98AA4B2">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33"/>
    <w:rsid w:val="00011112"/>
    <w:rsid w:val="000A6A49"/>
    <w:rsid w:val="000E3720"/>
    <w:rsid w:val="001E3833"/>
    <w:rsid w:val="00203432"/>
    <w:rsid w:val="003C2814"/>
    <w:rsid w:val="004012DB"/>
    <w:rsid w:val="008851E1"/>
    <w:rsid w:val="00917BB1"/>
    <w:rsid w:val="00B65D13"/>
    <w:rsid w:val="00BF2A4B"/>
    <w:rsid w:val="00C82EEB"/>
    <w:rsid w:val="00C9369A"/>
    <w:rsid w:val="00DC0ADD"/>
    <w:rsid w:val="00F70FE8"/>
    <w:rsid w:val="00F7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BE7E8AD9-F2BE-48E6-B341-92C237DC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EE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70FE8"/>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F70FE8"/>
    <w:rPr>
      <w:rFonts w:eastAsiaTheme="majorEastAsia" w:cstheme="majorBidi"/>
      <w:sz w:val="20"/>
      <w:szCs w:val="20"/>
    </w:rPr>
  </w:style>
  <w:style w:type="paragraph" w:styleId="Title">
    <w:name w:val="Title"/>
    <w:basedOn w:val="Normal"/>
    <w:link w:val="TitleChar"/>
    <w:qFormat/>
    <w:rsid w:val="001E3833"/>
    <w:pPr>
      <w:tabs>
        <w:tab w:val="left" w:pos="720"/>
        <w:tab w:val="left" w:pos="1440"/>
      </w:tabs>
      <w:jc w:val="center"/>
    </w:pPr>
    <w:rPr>
      <w:rFonts w:eastAsia="Times New Roman"/>
      <w:b/>
      <w:noProof/>
      <w:szCs w:val="20"/>
    </w:rPr>
  </w:style>
  <w:style w:type="character" w:customStyle="1" w:styleId="TitleChar">
    <w:name w:val="Title Char"/>
    <w:basedOn w:val="DefaultParagraphFont"/>
    <w:link w:val="Title"/>
    <w:rsid w:val="001E3833"/>
    <w:rPr>
      <w:rFonts w:eastAsia="Times New Roman"/>
      <w:b/>
      <w:noProof/>
      <w:szCs w:val="20"/>
    </w:rPr>
  </w:style>
  <w:style w:type="paragraph" w:styleId="ListParagraph">
    <w:name w:val="List Paragraph"/>
    <w:basedOn w:val="Normal"/>
    <w:uiPriority w:val="34"/>
    <w:qFormat/>
    <w:rsid w:val="004012DB"/>
    <w:pPr>
      <w:ind w:left="720"/>
      <w:contextualSpacing/>
    </w:pPr>
  </w:style>
  <w:style w:type="paragraph" w:styleId="BalloonText">
    <w:name w:val="Balloon Text"/>
    <w:basedOn w:val="Normal"/>
    <w:link w:val="BalloonTextChar"/>
    <w:uiPriority w:val="99"/>
    <w:semiHidden/>
    <w:unhideWhenUsed/>
    <w:rsid w:val="00885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1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C899-78BF-4BE0-B38B-668823F5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4</cp:revision>
  <cp:lastPrinted>2013-09-21T16:30:00Z</cp:lastPrinted>
  <dcterms:created xsi:type="dcterms:W3CDTF">2013-09-20T20:39:00Z</dcterms:created>
  <dcterms:modified xsi:type="dcterms:W3CDTF">2013-09-21T16:31:00Z</dcterms:modified>
</cp:coreProperties>
</file>